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bookmarkStart w:id="15" w:name="_GoBack"/>
      <w:bookmarkEnd w:id="15"/>
    </w:p>
    <w:p>
      <w:pPr>
        <w:jc w:val="center"/>
        <w:rPr>
          <w:rFonts w:ascii="黑体" w:hAnsi="黑体" w:eastAsia="黑体"/>
          <w:b/>
          <w:kern w:val="0"/>
          <w:sz w:val="28"/>
          <w:szCs w:val="28"/>
        </w:rPr>
      </w:pPr>
      <w:bookmarkStart w:id="0" w:name="_Toc123349716"/>
      <w:bookmarkStart w:id="1" w:name="_Toc122745144"/>
      <w:bookmarkStart w:id="2" w:name="_Toc119150740"/>
      <w:bookmarkStart w:id="3" w:name="_Toc121225390"/>
      <w:bookmarkStart w:id="4" w:name="_Toc121210779"/>
      <w:bookmarkStart w:id="5" w:name="_Toc121749822"/>
      <w:bookmarkStart w:id="6" w:name="_Toc121210344"/>
      <w:bookmarkStart w:id="7" w:name="_Toc119150762"/>
      <w:bookmarkStart w:id="8" w:name="_Toc121210789"/>
      <w:bookmarkStart w:id="9" w:name="_Toc123349715"/>
      <w:bookmarkStart w:id="10" w:name="_Toc121749823"/>
      <w:bookmarkStart w:id="11" w:name="_Toc122745145"/>
      <w:bookmarkStart w:id="12" w:name="_Toc121210354"/>
      <w:bookmarkStart w:id="13" w:name="_Toc185314484"/>
      <w:bookmarkStart w:id="14" w:name="_Toc121225400"/>
      <w:r>
        <w:rPr>
          <w:rFonts w:hint="eastAsia" w:ascii="黑体" w:hAnsi="黑体" w:eastAsia="黑体"/>
          <w:b/>
          <w:kern w:val="0"/>
          <w:sz w:val="28"/>
          <w:szCs w:val="28"/>
        </w:rPr>
        <w:t>关于开展2015年度航空经济重点调研课题申报工作的通知</w:t>
      </w:r>
    </w:p>
    <w:p>
      <w:pPr>
        <w:rPr>
          <w:kern w:val="0"/>
          <w:sz w:val="28"/>
          <w:szCs w:val="28"/>
        </w:rPr>
      </w:pPr>
      <w:r>
        <w:rPr>
          <w:rFonts w:hint="eastAsia"/>
          <w:kern w:val="0"/>
          <w:sz w:val="28"/>
          <w:szCs w:val="28"/>
        </w:rPr>
        <w:t xml:space="preserve"> </w:t>
      </w:r>
    </w:p>
    <w:p>
      <w:pPr>
        <w:rPr>
          <w:color w:val="262626"/>
          <w:kern w:val="0"/>
          <w:sz w:val="28"/>
          <w:szCs w:val="28"/>
        </w:rPr>
      </w:pPr>
      <w:r>
        <w:rPr>
          <w:rFonts w:hint="eastAsia"/>
          <w:kern w:val="0"/>
          <w:sz w:val="28"/>
          <w:szCs w:val="28"/>
        </w:rPr>
        <w:t>一、课题申报</w:t>
      </w:r>
    </w:p>
    <w:p>
      <w:pPr>
        <w:ind w:firstLine="492" w:firstLineChars="205"/>
        <w:rPr>
          <w:rFonts w:ascii="宋体" w:hAnsi="宋体"/>
          <w:sz w:val="24"/>
          <w:szCs w:val="24"/>
        </w:rPr>
      </w:pPr>
      <w:r>
        <w:rPr>
          <w:rFonts w:hint="eastAsia" w:ascii="宋体" w:hAnsi="宋体" w:cs="宋体"/>
          <w:color w:val="000000"/>
          <w:kern w:val="0"/>
          <w:sz w:val="24"/>
          <w:szCs w:val="24"/>
        </w:rPr>
        <w:t xml:space="preserve"> 根据港区“十三五”任务规划，</w:t>
      </w:r>
      <w:r>
        <w:rPr>
          <w:rFonts w:hint="eastAsia" w:ascii="宋体" w:hAnsi="宋体"/>
          <w:sz w:val="24"/>
          <w:szCs w:val="24"/>
        </w:rPr>
        <w:t>为航空经济重点调研任务有效连接郑州航空经济综合实验区建设实际，经实验区管委会审定，中心为实验区提供“十三五”规划前期研究的基础上提出了6类、24项调研任务，针对实验区建设实际开展调研，高质量完成调研报告。</w:t>
      </w:r>
      <w:r>
        <w:rPr>
          <w:rFonts w:hint="eastAsia" w:ascii="宋体" w:hAnsi="宋体"/>
          <w:color w:val="262626"/>
          <w:sz w:val="24"/>
          <w:szCs w:val="24"/>
        </w:rPr>
        <w:t>共涉及六个大板块：航空港建设政策理论研究；航空物流与物流工程研究；航空产业技术研究领域；航空金融体系；航空服务体系；航空城市建设。</w:t>
      </w:r>
      <w:r>
        <w:rPr>
          <w:rFonts w:hint="eastAsia" w:ascii="宋体" w:hAnsi="宋体"/>
          <w:sz w:val="24"/>
          <w:szCs w:val="24"/>
        </w:rPr>
        <w:t>（见附件一）。现面向协同创新校内各团队和合作单位进行调研项目招标。</w:t>
      </w:r>
    </w:p>
    <w:p>
      <w:pPr>
        <w:rPr>
          <w:rFonts w:ascii="宋体" w:hAnsi="宋体"/>
          <w:sz w:val="24"/>
          <w:szCs w:val="24"/>
        </w:rPr>
      </w:pPr>
    </w:p>
    <w:p>
      <w:pPr>
        <w:rPr>
          <w:kern w:val="0"/>
          <w:sz w:val="28"/>
          <w:szCs w:val="28"/>
        </w:rPr>
      </w:pPr>
      <w:r>
        <w:rPr>
          <w:rFonts w:hint="eastAsia"/>
          <w:kern w:val="0"/>
          <w:sz w:val="28"/>
          <w:szCs w:val="28"/>
        </w:rPr>
        <w:t>二、申报人资格</w:t>
      </w:r>
    </w:p>
    <w:p>
      <w:pPr>
        <w:snapToGrid w:val="0"/>
        <w:ind w:firstLine="480" w:firstLineChars="200"/>
        <w:rPr>
          <w:rFonts w:ascii="宋体" w:hAnsi="宋体" w:cs="宋体"/>
          <w:color w:val="000000"/>
          <w:kern w:val="0"/>
          <w:sz w:val="24"/>
          <w:szCs w:val="24"/>
        </w:rPr>
      </w:pPr>
      <w:r>
        <w:rPr>
          <w:rFonts w:hint="eastAsia" w:ascii="宋体" w:hAnsi="宋体"/>
          <w:color w:val="262626"/>
          <w:sz w:val="24"/>
          <w:szCs w:val="24"/>
        </w:rPr>
        <w:t>申报者原则上应具有副高级（或相当于副高级）以上专业技术职务，如不具备的，须由两名具有正高级专业技术职务的同行专家推荐。</w:t>
      </w:r>
    </w:p>
    <w:p>
      <w:pPr>
        <w:widowControl/>
        <w:rPr>
          <w:rFonts w:ascii="宋体" w:hAnsi="宋体" w:cs="宋体"/>
          <w:color w:val="000000"/>
          <w:kern w:val="0"/>
          <w:sz w:val="24"/>
          <w:szCs w:val="24"/>
        </w:rPr>
      </w:pPr>
    </w:p>
    <w:p>
      <w:pPr>
        <w:rPr>
          <w:kern w:val="0"/>
          <w:sz w:val="28"/>
          <w:szCs w:val="28"/>
        </w:rPr>
      </w:pPr>
      <w:r>
        <w:rPr>
          <w:rFonts w:hint="eastAsia"/>
          <w:kern w:val="0"/>
          <w:sz w:val="28"/>
          <w:szCs w:val="28"/>
        </w:rPr>
        <w:t>三、资助方式</w:t>
      </w:r>
    </w:p>
    <w:p>
      <w:pPr>
        <w:ind w:firstLine="480" w:firstLineChars="200"/>
        <w:rPr>
          <w:rFonts w:ascii="宋体" w:hAnsi="宋体"/>
          <w:b/>
          <w:bCs/>
          <w:sz w:val="24"/>
          <w:szCs w:val="24"/>
        </w:rPr>
      </w:pPr>
      <w:r>
        <w:rPr>
          <w:rFonts w:hint="eastAsia" w:ascii="宋体" w:hAnsi="宋体" w:cs="宋体"/>
          <w:color w:val="000000"/>
          <w:kern w:val="0"/>
          <w:sz w:val="24"/>
          <w:szCs w:val="24"/>
        </w:rPr>
        <w:t>经校长办公会讨论决策，</w:t>
      </w:r>
      <w:r>
        <w:rPr>
          <w:rFonts w:hint="eastAsia" w:ascii="宋体" w:hAnsi="宋体"/>
          <w:sz w:val="24"/>
          <w:szCs w:val="24"/>
        </w:rPr>
        <w:t>以研究绩效方式向调研任务负责人进行资助，</w:t>
      </w:r>
      <w:r>
        <w:rPr>
          <w:rFonts w:hint="eastAsia" w:ascii="宋体" w:hAnsi="宋体" w:cs="宋体"/>
          <w:color w:val="000000"/>
          <w:kern w:val="0"/>
          <w:sz w:val="24"/>
          <w:szCs w:val="24"/>
        </w:rPr>
        <w:t>仅资助负责人本人，</w:t>
      </w:r>
      <w:r>
        <w:rPr>
          <w:rFonts w:hint="eastAsia" w:ascii="宋体" w:hAnsi="宋体"/>
          <w:sz w:val="24"/>
          <w:szCs w:val="24"/>
        </w:rPr>
        <w:t>按月发放，平均每项任务3万元，调研任务资助总额72.8万元（人民币柒拾贰万捌仟元整）。</w:t>
      </w:r>
    </w:p>
    <w:p>
      <w:pPr>
        <w:widowControl/>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具体资助制度见所附清单（附件二）。</w:t>
      </w:r>
    </w:p>
    <w:p>
      <w:pPr>
        <w:widowControl/>
        <w:outlineLvl w:val="0"/>
        <w:rPr>
          <w:rFonts w:ascii="宋体" w:hAnsi="宋体" w:cs="宋体"/>
          <w:color w:val="000000"/>
          <w:kern w:val="0"/>
          <w:sz w:val="24"/>
          <w:szCs w:val="24"/>
        </w:rPr>
      </w:pPr>
    </w:p>
    <w:p>
      <w:pPr>
        <w:rPr>
          <w:kern w:val="0"/>
          <w:sz w:val="28"/>
          <w:szCs w:val="28"/>
        </w:rPr>
      </w:pPr>
      <w:r>
        <w:rPr>
          <w:rFonts w:hint="eastAsia"/>
          <w:kern w:val="0"/>
          <w:sz w:val="28"/>
          <w:szCs w:val="28"/>
        </w:rPr>
        <w:t>四、申报要求</w:t>
      </w:r>
    </w:p>
    <w:p>
      <w:pPr>
        <w:rPr>
          <w:rFonts w:cs="宋体"/>
          <w:color w:val="000000"/>
          <w:kern w:val="0"/>
        </w:rPr>
      </w:pPr>
      <w:r>
        <w:rPr>
          <w:rFonts w:hint="eastAsia" w:cs="宋体"/>
          <w:color w:val="000000"/>
          <w:kern w:val="0"/>
        </w:rPr>
        <w:t>1.必须以校内航空经济创新团队为单位来申报，且</w:t>
      </w:r>
      <w:r>
        <w:rPr>
          <w:rFonts w:hint="eastAsia"/>
        </w:rPr>
        <w:t>团队不得超过3人，且负责人和成员均不得参与其他课题；</w:t>
      </w:r>
    </w:p>
    <w:p>
      <w:pPr>
        <w:rPr>
          <w:rFonts w:cs="宋体"/>
          <w:color w:val="000000"/>
          <w:kern w:val="0"/>
        </w:rPr>
      </w:pPr>
      <w:r>
        <w:rPr>
          <w:rFonts w:hint="eastAsia" w:cs="宋体"/>
          <w:color w:val="000000"/>
          <w:kern w:val="0"/>
        </w:rPr>
        <w:t>2.按照要求填写申报表（见附件三）、汇总表（见附件四）；</w:t>
      </w:r>
    </w:p>
    <w:p>
      <w:pPr>
        <w:rPr>
          <w:rFonts w:cs="宋体"/>
          <w:color w:val="000000"/>
          <w:kern w:val="0"/>
        </w:rPr>
      </w:pPr>
      <w:r>
        <w:rPr>
          <w:rFonts w:hint="eastAsia" w:cs="宋体"/>
          <w:color w:val="000000"/>
          <w:kern w:val="0"/>
        </w:rPr>
        <w:t>3.</w:t>
      </w:r>
      <w:r>
        <w:rPr>
          <w:rFonts w:hint="eastAsia"/>
        </w:rPr>
        <w:t>研究期限为2015年7月—2015年11月</w:t>
      </w:r>
      <w:r>
        <w:rPr>
          <w:rFonts w:hint="eastAsia" w:cs="宋体"/>
          <w:color w:val="000000"/>
          <w:kern w:val="0"/>
        </w:rPr>
        <w:t>2015年12月项目验收；验收需</w:t>
      </w:r>
      <w:r>
        <w:rPr>
          <w:rFonts w:hint="eastAsia"/>
        </w:rPr>
        <w:t>实验区采用，并附应用证明。</w:t>
      </w:r>
    </w:p>
    <w:p>
      <w:pPr>
        <w:rPr>
          <w:kern w:val="0"/>
        </w:rPr>
      </w:pPr>
      <w:r>
        <w:rPr>
          <w:rFonts w:hint="eastAsia"/>
          <w:kern w:val="0"/>
        </w:rPr>
        <w:t>4.按照要求填写招标协议书（见附件五）。</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outlineLvl w:val="0"/>
        <w:rPr>
          <w:rFonts w:ascii="宋体" w:hAnsi="宋体" w:cs="宋体"/>
          <w:color w:val="000000"/>
          <w:kern w:val="0"/>
          <w:sz w:val="24"/>
          <w:szCs w:val="24"/>
        </w:rPr>
      </w:pPr>
    </w:p>
    <w:p>
      <w:pPr>
        <w:rPr>
          <w:kern w:val="0"/>
          <w:sz w:val="28"/>
          <w:szCs w:val="28"/>
        </w:rPr>
      </w:pPr>
      <w:r>
        <w:rPr>
          <w:rFonts w:hint="eastAsia"/>
          <w:kern w:val="0"/>
          <w:sz w:val="28"/>
          <w:szCs w:val="28"/>
        </w:rPr>
        <w:t>五、受理时间</w:t>
      </w:r>
    </w:p>
    <w:p>
      <w:pPr>
        <w:ind w:firstLine="480" w:firstLineChars="200"/>
        <w:jc w:val="left"/>
        <w:rPr>
          <w:rFonts w:ascii="宋体" w:hAnsi="宋体"/>
          <w:color w:val="262626"/>
          <w:sz w:val="24"/>
          <w:szCs w:val="24"/>
        </w:rPr>
      </w:pPr>
      <w:r>
        <w:rPr>
          <w:rFonts w:hint="eastAsia" w:ascii="宋体" w:hAnsi="宋体"/>
          <w:color w:val="262626"/>
          <w:sz w:val="24"/>
          <w:szCs w:val="24"/>
        </w:rPr>
        <w:t>此次招标课题的申报面向各院系部为单位，申请人将《申请书》纸质版和电子版交给本单位科研管理负责人（或科研管理秘书）。本单位科研管理负责人（或科研管理秘书）负责审核课题是否符合相关申报要求，并将本单位所有申报课题汇总填列。</w:t>
      </w:r>
    </w:p>
    <w:p>
      <w:pPr>
        <w:jc w:val="left"/>
        <w:rPr>
          <w:rFonts w:ascii="宋体" w:hAnsi="宋体"/>
          <w:color w:val="262626"/>
          <w:sz w:val="24"/>
          <w:szCs w:val="24"/>
        </w:rPr>
      </w:pPr>
      <w:r>
        <w:rPr>
          <w:rFonts w:hint="eastAsia" w:ascii="宋体" w:hAnsi="宋体"/>
          <w:color w:val="262626"/>
          <w:sz w:val="24"/>
          <w:szCs w:val="24"/>
        </w:rPr>
        <w:t xml:space="preserve">   2015年6月22日前：各单位科研管理负责人（或科研管理秘书）报送符合要求的《申请书》和“汇总表”；同时将本单位申报的《申请书》和“汇总表”的电子版发送至邮箱xtcx@zzia.edu.cn。 </w:t>
      </w:r>
    </w:p>
    <w:p>
      <w:pPr>
        <w:snapToGrid w:val="0"/>
        <w:ind w:firstLine="465"/>
        <w:jc w:val="left"/>
        <w:rPr>
          <w:rFonts w:ascii="宋体" w:hAnsi="宋体"/>
          <w:sz w:val="24"/>
          <w:szCs w:val="24"/>
        </w:rPr>
      </w:pPr>
      <w:r>
        <w:rPr>
          <w:rFonts w:hint="eastAsia" w:ascii="宋体" w:hAnsi="宋体"/>
          <w:color w:val="262626"/>
          <w:sz w:val="24"/>
          <w:szCs w:val="24"/>
        </w:rPr>
        <w:t>材料报送地点：东区办公楼B315，</w:t>
      </w:r>
      <w:r>
        <w:rPr>
          <w:rFonts w:hint="eastAsia" w:ascii="宋体" w:hAnsi="宋体"/>
          <w:sz w:val="24"/>
          <w:szCs w:val="24"/>
        </w:rPr>
        <w:t>航空经济发展河南省协同创新中心，联系电话0371-60632193。</w:t>
      </w:r>
    </w:p>
    <w:p>
      <w:pPr>
        <w:widowControl/>
        <w:outlineLvl w:val="0"/>
        <w:rPr>
          <w:rFonts w:ascii="宋体" w:hAnsi="宋体" w:cs="宋体"/>
          <w:color w:val="000000"/>
          <w:kern w:val="0"/>
          <w:sz w:val="24"/>
          <w:szCs w:val="24"/>
        </w:rPr>
      </w:pPr>
    </w:p>
    <w:p>
      <w:pPr>
        <w:rPr>
          <w:kern w:val="0"/>
          <w:sz w:val="28"/>
          <w:szCs w:val="28"/>
        </w:rPr>
      </w:pPr>
      <w:r>
        <w:rPr>
          <w:rFonts w:hint="eastAsia"/>
          <w:kern w:val="0"/>
          <w:sz w:val="28"/>
          <w:szCs w:val="28"/>
        </w:rPr>
        <w:t>附件一：</w:t>
      </w:r>
    </w:p>
    <w:p>
      <w:pPr>
        <w:rPr>
          <w:kern w:val="0"/>
          <w:sz w:val="28"/>
          <w:szCs w:val="28"/>
        </w:rPr>
      </w:pPr>
      <w:r>
        <w:rPr>
          <w:rFonts w:hint="eastAsia"/>
          <w:kern w:val="0"/>
          <w:sz w:val="28"/>
          <w:szCs w:val="28"/>
        </w:rPr>
        <w:t>1、航空港建设政策理论研究</w:t>
      </w:r>
    </w:p>
    <w:p>
      <w:pPr>
        <w:snapToGrid w:val="0"/>
        <w:rPr>
          <w:rFonts w:ascii="宋体" w:hAnsi="宋体" w:cs="宋体"/>
          <w:color w:val="000000"/>
          <w:kern w:val="0"/>
          <w:sz w:val="24"/>
          <w:szCs w:val="24"/>
        </w:rPr>
      </w:pPr>
      <w:r>
        <w:rPr>
          <w:rFonts w:hint="eastAsia" w:ascii="宋体" w:hAnsi="宋体" w:cs="宋体"/>
          <w:color w:val="000000"/>
          <w:kern w:val="0"/>
          <w:sz w:val="24"/>
          <w:szCs w:val="24"/>
        </w:rPr>
        <w:t>（1）实验区建设如何深度融入国家“一路一带”战略研究；</w:t>
      </w:r>
    </w:p>
    <w:p>
      <w:pPr>
        <w:snapToGrid w:val="0"/>
        <w:rPr>
          <w:rFonts w:ascii="宋体" w:hAnsi="宋体" w:cs="宋体"/>
          <w:color w:val="000000"/>
          <w:kern w:val="0"/>
          <w:sz w:val="24"/>
          <w:szCs w:val="24"/>
        </w:rPr>
      </w:pPr>
      <w:r>
        <w:rPr>
          <w:rFonts w:hint="eastAsia" w:ascii="宋体" w:hAnsi="宋体" w:cs="宋体"/>
          <w:color w:val="000000"/>
          <w:kern w:val="0"/>
          <w:sz w:val="24"/>
          <w:szCs w:val="24"/>
        </w:rPr>
        <w:t>（2）实验区“河南省深化改革、体制创新的示范区”建设研究；</w:t>
      </w:r>
    </w:p>
    <w:p>
      <w:pPr>
        <w:snapToGrid w:val="0"/>
        <w:rPr>
          <w:rFonts w:ascii="宋体" w:hAnsi="宋体" w:cs="宋体"/>
          <w:color w:val="000000"/>
          <w:kern w:val="0"/>
          <w:sz w:val="24"/>
          <w:szCs w:val="24"/>
        </w:rPr>
      </w:pPr>
      <w:r>
        <w:rPr>
          <w:rFonts w:hint="eastAsia" w:ascii="宋体" w:hAnsi="宋体" w:cs="宋体"/>
          <w:color w:val="000000"/>
          <w:kern w:val="0"/>
          <w:sz w:val="24"/>
          <w:szCs w:val="24"/>
        </w:rPr>
        <w:t>（3）实验区空港竞争力指数评价体系建设与应用研究；</w:t>
      </w:r>
    </w:p>
    <w:p>
      <w:pPr>
        <w:rPr>
          <w:kern w:val="0"/>
        </w:rPr>
      </w:pPr>
      <w:r>
        <w:rPr>
          <w:rFonts w:hint="eastAsia"/>
          <w:kern w:val="0"/>
        </w:rPr>
        <w:t>（4）实验区专题立法与实验区条例制定；</w:t>
      </w:r>
    </w:p>
    <w:p>
      <w:pPr>
        <w:snapToGrid w:val="0"/>
        <w:rPr>
          <w:rFonts w:ascii="宋体" w:hAnsi="宋体" w:cs="宋体"/>
          <w:color w:val="000000"/>
          <w:kern w:val="0"/>
          <w:sz w:val="24"/>
          <w:szCs w:val="24"/>
        </w:rPr>
      </w:pPr>
      <w:r>
        <w:rPr>
          <w:rFonts w:hint="eastAsia" w:ascii="宋体" w:hAnsi="宋体" w:cs="宋体"/>
          <w:color w:val="000000"/>
          <w:kern w:val="0"/>
          <w:sz w:val="24"/>
          <w:szCs w:val="24"/>
        </w:rPr>
        <w:t>（5）郑州特色自贸区建设与实验区自由贸易区建设战略研究；</w:t>
      </w:r>
    </w:p>
    <w:p>
      <w:pPr>
        <w:snapToGrid w:val="0"/>
        <w:rPr>
          <w:rFonts w:ascii="宋体" w:hAnsi="宋体" w:cs="宋体"/>
          <w:color w:val="000000"/>
          <w:kern w:val="0"/>
          <w:sz w:val="24"/>
          <w:szCs w:val="24"/>
        </w:rPr>
      </w:pPr>
      <w:r>
        <w:rPr>
          <w:rFonts w:hint="eastAsia" w:ascii="宋体" w:hAnsi="宋体" w:cs="宋体"/>
          <w:color w:val="000000"/>
          <w:kern w:val="0"/>
          <w:sz w:val="24"/>
          <w:szCs w:val="24"/>
        </w:rPr>
        <w:t>（6）北京临空经济区的发展对郑州航空港实验区建设的借鉴；</w:t>
      </w:r>
    </w:p>
    <w:p>
      <w:pPr>
        <w:snapToGrid w:val="0"/>
        <w:rPr>
          <w:rFonts w:ascii="宋体" w:hAnsi="宋体" w:cs="宋体"/>
          <w:color w:val="000000"/>
          <w:kern w:val="0"/>
          <w:sz w:val="24"/>
          <w:szCs w:val="24"/>
        </w:rPr>
      </w:pPr>
      <w:r>
        <w:rPr>
          <w:rFonts w:hint="eastAsia" w:ascii="宋体" w:hAnsi="宋体" w:cs="宋体"/>
          <w:color w:val="000000"/>
          <w:kern w:val="0"/>
          <w:sz w:val="24"/>
          <w:szCs w:val="24"/>
        </w:rPr>
        <w:t>（7）临空经济主流理论与实践的差异实证分析（以北京和郑州为例）</w:t>
      </w:r>
    </w:p>
    <w:p>
      <w:pPr>
        <w:rPr>
          <w:kern w:val="0"/>
          <w:sz w:val="28"/>
          <w:szCs w:val="28"/>
        </w:rPr>
      </w:pPr>
      <w:r>
        <w:rPr>
          <w:rFonts w:hint="eastAsia"/>
          <w:kern w:val="0"/>
          <w:sz w:val="28"/>
          <w:szCs w:val="28"/>
        </w:rPr>
        <w:t>2、航空物流与物流工程研究</w:t>
      </w:r>
    </w:p>
    <w:p>
      <w:pPr>
        <w:snapToGrid w:val="0"/>
        <w:rPr>
          <w:rFonts w:ascii="宋体" w:hAnsi="宋体"/>
          <w:color w:val="333333"/>
          <w:sz w:val="24"/>
          <w:szCs w:val="24"/>
        </w:rPr>
      </w:pPr>
      <w:r>
        <w:rPr>
          <w:rFonts w:hint="eastAsia" w:ascii="宋体" w:hAnsi="宋体" w:cs="宋体"/>
          <w:color w:val="000000"/>
          <w:kern w:val="0"/>
          <w:sz w:val="24"/>
          <w:szCs w:val="24"/>
        </w:rPr>
        <w:t>（1）实验区面向全球、全方位开放的海陆空新型国际交通体系研</w:t>
      </w:r>
      <w:r>
        <w:rPr>
          <w:rFonts w:hint="eastAsia" w:ascii="宋体" w:hAnsi="宋体"/>
          <w:color w:val="333333"/>
          <w:sz w:val="24"/>
          <w:szCs w:val="24"/>
        </w:rPr>
        <w:t>究；</w:t>
      </w:r>
    </w:p>
    <w:p>
      <w:pPr>
        <w:snapToGrid w:val="0"/>
        <w:rPr>
          <w:rFonts w:ascii="宋体" w:hAnsi="宋体"/>
          <w:color w:val="333333"/>
          <w:sz w:val="24"/>
          <w:szCs w:val="24"/>
        </w:rPr>
      </w:pPr>
      <w:r>
        <w:rPr>
          <w:rFonts w:hint="eastAsia" w:ascii="宋体" w:hAnsi="宋体"/>
          <w:color w:val="333333"/>
          <w:sz w:val="24"/>
          <w:szCs w:val="24"/>
        </w:rPr>
        <w:t>（2）“卢森堡模式”创新与新鲜卢森堡项目推进方案研究；</w:t>
      </w:r>
    </w:p>
    <w:p>
      <w:pPr>
        <w:snapToGrid w:val="0"/>
        <w:rPr>
          <w:rFonts w:ascii="宋体" w:hAnsi="宋体" w:cs="宋体"/>
          <w:color w:val="000000"/>
          <w:kern w:val="0"/>
          <w:sz w:val="24"/>
          <w:szCs w:val="24"/>
        </w:rPr>
      </w:pPr>
      <w:r>
        <w:rPr>
          <w:rFonts w:hint="eastAsia" w:ascii="宋体" w:hAnsi="宋体" w:cs="宋体"/>
          <w:color w:val="000000"/>
          <w:kern w:val="0"/>
          <w:sz w:val="24"/>
          <w:szCs w:val="24"/>
        </w:rPr>
        <w:t>（3）实验区交通运输行政执法改体制改革方案研究；</w:t>
      </w:r>
    </w:p>
    <w:p>
      <w:pPr>
        <w:snapToGrid w:val="0"/>
        <w:rPr>
          <w:rFonts w:ascii="宋体" w:hAnsi="宋体"/>
          <w:color w:val="333333"/>
          <w:sz w:val="24"/>
          <w:szCs w:val="24"/>
        </w:rPr>
      </w:pPr>
      <w:r>
        <w:rPr>
          <w:rFonts w:hint="eastAsia" w:ascii="宋体" w:hAnsi="宋体"/>
          <w:color w:val="333333"/>
          <w:sz w:val="24"/>
          <w:szCs w:val="24"/>
        </w:rPr>
        <w:t>（4）实验区花卉物流与都市型生态农业发展路径研究；</w:t>
      </w:r>
    </w:p>
    <w:p>
      <w:pPr>
        <w:snapToGrid w:val="0"/>
        <w:rPr>
          <w:rFonts w:ascii="宋体" w:hAnsi="宋体"/>
          <w:color w:val="333333"/>
          <w:sz w:val="24"/>
          <w:szCs w:val="24"/>
        </w:rPr>
      </w:pPr>
      <w:r>
        <w:rPr>
          <w:rFonts w:hint="eastAsia" w:ascii="宋体" w:hAnsi="宋体"/>
          <w:color w:val="333333"/>
          <w:sz w:val="24"/>
          <w:szCs w:val="24"/>
        </w:rPr>
        <w:t>（5）深化流通变革，将实验区打造国际商都核心区研究。</w:t>
      </w:r>
    </w:p>
    <w:p>
      <w:pPr>
        <w:rPr>
          <w:kern w:val="0"/>
          <w:sz w:val="28"/>
          <w:szCs w:val="28"/>
        </w:rPr>
      </w:pPr>
      <w:r>
        <w:rPr>
          <w:rFonts w:hint="eastAsia"/>
          <w:kern w:val="0"/>
          <w:sz w:val="28"/>
          <w:szCs w:val="28"/>
        </w:rPr>
        <w:t>3、航空产业技术研究</w:t>
      </w:r>
    </w:p>
    <w:p>
      <w:pPr>
        <w:snapToGrid w:val="0"/>
        <w:rPr>
          <w:rFonts w:ascii="宋体" w:hAnsi="宋体"/>
          <w:color w:val="333333"/>
          <w:sz w:val="24"/>
          <w:szCs w:val="24"/>
        </w:rPr>
      </w:pPr>
      <w:r>
        <w:rPr>
          <w:rFonts w:hint="eastAsia" w:ascii="宋体" w:hAnsi="宋体"/>
          <w:color w:val="333333"/>
          <w:sz w:val="24"/>
          <w:szCs w:val="24"/>
        </w:rPr>
        <w:t>（1）互联网+、众创创业、技术创新与实验区发展的驱动力研究；</w:t>
      </w:r>
    </w:p>
    <w:p>
      <w:pPr>
        <w:snapToGrid w:val="0"/>
        <w:rPr>
          <w:rFonts w:ascii="宋体" w:hAnsi="宋体"/>
          <w:color w:val="333333"/>
          <w:sz w:val="24"/>
          <w:szCs w:val="24"/>
        </w:rPr>
      </w:pPr>
      <w:r>
        <w:rPr>
          <w:rFonts w:hint="eastAsia" w:ascii="宋体" w:hAnsi="宋体"/>
          <w:color w:val="333333"/>
          <w:sz w:val="24"/>
          <w:szCs w:val="24"/>
        </w:rPr>
        <w:t>（2）台海政局、台企战略调整对实验区IT、先进制造业可持续发展影响研究；</w:t>
      </w:r>
    </w:p>
    <w:p>
      <w:pPr>
        <w:snapToGrid w:val="0"/>
        <w:rPr>
          <w:rFonts w:ascii="宋体" w:hAnsi="宋体"/>
          <w:color w:val="333333"/>
          <w:sz w:val="24"/>
          <w:szCs w:val="24"/>
        </w:rPr>
      </w:pPr>
      <w:r>
        <w:rPr>
          <w:rFonts w:hint="eastAsia" w:ascii="宋体" w:hAnsi="宋体"/>
          <w:color w:val="333333"/>
          <w:sz w:val="24"/>
          <w:szCs w:val="24"/>
        </w:rPr>
        <w:t>（3）跨境电商中物流、通关效益、退税以及电子支付等相关问题解决对策研究；</w:t>
      </w:r>
    </w:p>
    <w:p>
      <w:pPr>
        <w:snapToGrid w:val="0"/>
        <w:rPr>
          <w:rFonts w:ascii="宋体" w:hAnsi="宋体"/>
          <w:color w:val="333333"/>
          <w:sz w:val="24"/>
          <w:szCs w:val="24"/>
        </w:rPr>
      </w:pPr>
      <w:r>
        <w:rPr>
          <w:rFonts w:hint="eastAsia" w:ascii="宋体" w:hAnsi="宋体"/>
          <w:color w:val="333333"/>
          <w:sz w:val="24"/>
          <w:szCs w:val="24"/>
        </w:rPr>
        <w:t>（4）实验区“三网融合”建设与河南省通信工作试点申建方案研究；</w:t>
      </w:r>
    </w:p>
    <w:p>
      <w:pPr>
        <w:snapToGrid w:val="0"/>
        <w:rPr>
          <w:rFonts w:ascii="宋体" w:hAnsi="宋体"/>
          <w:color w:val="333333"/>
          <w:sz w:val="24"/>
          <w:szCs w:val="24"/>
        </w:rPr>
      </w:pPr>
      <w:r>
        <w:rPr>
          <w:rFonts w:hint="eastAsia" w:ascii="宋体" w:hAnsi="宋体"/>
          <w:color w:val="333333"/>
          <w:sz w:val="24"/>
          <w:szCs w:val="24"/>
        </w:rPr>
        <w:t>（5）智能终端产业在硬件生产、核心部件原材料创新和软件研发等方面的发展趋势及要点分析研究。</w:t>
      </w:r>
    </w:p>
    <w:p>
      <w:pPr>
        <w:rPr>
          <w:kern w:val="0"/>
          <w:sz w:val="28"/>
          <w:szCs w:val="28"/>
        </w:rPr>
      </w:pPr>
      <w:r>
        <w:rPr>
          <w:rFonts w:hint="eastAsia"/>
          <w:kern w:val="0"/>
          <w:sz w:val="28"/>
          <w:szCs w:val="28"/>
        </w:rPr>
        <w:t>4、航空金融体系研究</w:t>
      </w:r>
    </w:p>
    <w:p>
      <w:pPr>
        <w:snapToGrid w:val="0"/>
        <w:rPr>
          <w:rFonts w:ascii="宋体" w:hAnsi="宋体"/>
          <w:color w:val="333333"/>
          <w:sz w:val="24"/>
          <w:szCs w:val="24"/>
        </w:rPr>
      </w:pPr>
      <w:r>
        <w:rPr>
          <w:rFonts w:hint="eastAsia" w:ascii="宋体" w:hAnsi="宋体"/>
          <w:color w:val="333333"/>
          <w:sz w:val="24"/>
          <w:szCs w:val="24"/>
        </w:rPr>
        <w:t>（1）实验区离岸结算、离岸金融、金融租赁等创新业务的先行先试研究；</w:t>
      </w:r>
    </w:p>
    <w:p>
      <w:pPr>
        <w:snapToGrid w:val="0"/>
        <w:rPr>
          <w:rFonts w:ascii="宋体" w:hAnsi="宋体"/>
          <w:color w:val="333333"/>
          <w:sz w:val="24"/>
          <w:szCs w:val="24"/>
        </w:rPr>
      </w:pPr>
      <w:r>
        <w:rPr>
          <w:rFonts w:hint="eastAsia" w:ascii="宋体" w:hAnsi="宋体"/>
          <w:color w:val="333333"/>
          <w:sz w:val="24"/>
          <w:szCs w:val="24"/>
        </w:rPr>
        <w:t>（2）财政改革对实验区“新常态”的投资增长路径影响及发展思路研究。</w:t>
      </w:r>
    </w:p>
    <w:p>
      <w:pPr>
        <w:rPr>
          <w:kern w:val="0"/>
          <w:sz w:val="28"/>
          <w:szCs w:val="28"/>
        </w:rPr>
      </w:pPr>
      <w:r>
        <w:rPr>
          <w:rFonts w:hint="eastAsia"/>
          <w:kern w:val="0"/>
          <w:sz w:val="28"/>
          <w:szCs w:val="28"/>
        </w:rPr>
        <w:t>5、航空服务体系</w:t>
      </w:r>
    </w:p>
    <w:p>
      <w:pPr>
        <w:snapToGrid w:val="0"/>
        <w:rPr>
          <w:rFonts w:ascii="宋体" w:hAnsi="宋体"/>
          <w:color w:val="333333"/>
          <w:sz w:val="24"/>
          <w:szCs w:val="24"/>
        </w:rPr>
      </w:pPr>
      <w:r>
        <w:rPr>
          <w:rFonts w:hint="eastAsia" w:ascii="宋体" w:hAnsi="宋体"/>
          <w:color w:val="333333"/>
          <w:sz w:val="24"/>
          <w:szCs w:val="24"/>
        </w:rPr>
        <w:t>（1）航空港实验区人才战略顶层设计；</w:t>
      </w:r>
    </w:p>
    <w:p>
      <w:pPr>
        <w:snapToGrid w:val="0"/>
        <w:rPr>
          <w:rFonts w:ascii="宋体" w:hAnsi="宋体"/>
          <w:color w:val="333333"/>
          <w:sz w:val="24"/>
          <w:szCs w:val="24"/>
        </w:rPr>
      </w:pPr>
      <w:r>
        <w:rPr>
          <w:rFonts w:hint="eastAsia" w:ascii="宋体" w:hAnsi="宋体"/>
          <w:color w:val="333333"/>
          <w:sz w:val="24"/>
          <w:szCs w:val="24"/>
        </w:rPr>
        <w:t>（2）航空港实验区文化发展顶层设计</w:t>
      </w:r>
    </w:p>
    <w:p>
      <w:pPr>
        <w:snapToGrid w:val="0"/>
        <w:rPr>
          <w:rFonts w:ascii="宋体" w:hAnsi="宋体"/>
          <w:color w:val="333333"/>
          <w:sz w:val="24"/>
          <w:szCs w:val="24"/>
        </w:rPr>
      </w:pPr>
      <w:r>
        <w:rPr>
          <w:rFonts w:hint="eastAsia" w:ascii="宋体" w:hAnsi="宋体"/>
          <w:color w:val="333333"/>
          <w:sz w:val="24"/>
          <w:szCs w:val="24"/>
        </w:rPr>
        <w:t>（3）实验区在社保体制创新方面的先行先试。</w:t>
      </w:r>
    </w:p>
    <w:p>
      <w:pPr>
        <w:rPr>
          <w:kern w:val="0"/>
          <w:sz w:val="28"/>
          <w:szCs w:val="28"/>
        </w:rPr>
      </w:pPr>
      <w:r>
        <w:rPr>
          <w:rFonts w:hint="eastAsia"/>
          <w:kern w:val="0"/>
          <w:sz w:val="28"/>
          <w:szCs w:val="28"/>
        </w:rPr>
        <w:t>6、航空城市建设</w:t>
      </w:r>
    </w:p>
    <w:p>
      <w:pPr>
        <w:snapToGrid w:val="0"/>
        <w:rPr>
          <w:rFonts w:ascii="宋体" w:hAnsi="宋体"/>
          <w:color w:val="333333"/>
          <w:sz w:val="24"/>
          <w:szCs w:val="24"/>
        </w:rPr>
      </w:pPr>
      <w:r>
        <w:rPr>
          <w:rFonts w:hint="eastAsia" w:ascii="宋体" w:hAnsi="宋体"/>
          <w:color w:val="333333"/>
          <w:sz w:val="24"/>
          <w:szCs w:val="24"/>
        </w:rPr>
        <w:t>（1）实验区城市化建设与中央财政支持地下综合管廊试点申建方案；</w:t>
      </w:r>
    </w:p>
    <w:p>
      <w:pPr>
        <w:snapToGrid w:val="0"/>
        <w:rPr>
          <w:rFonts w:ascii="宋体" w:hAnsi="宋体"/>
          <w:color w:val="333333"/>
          <w:sz w:val="24"/>
          <w:szCs w:val="24"/>
        </w:rPr>
      </w:pPr>
      <w:r>
        <w:rPr>
          <w:rFonts w:hint="eastAsia" w:ascii="宋体" w:hAnsi="宋体"/>
          <w:color w:val="333333"/>
          <w:sz w:val="24"/>
          <w:szCs w:val="24"/>
        </w:rPr>
        <w:t>（2）实验区海绵城市建设试点行动方案。</w:t>
      </w:r>
    </w:p>
    <w:p>
      <w:pPr>
        <w:rPr>
          <w:rFonts w:ascii="宋体" w:hAnsi="宋体"/>
          <w:sz w:val="24"/>
          <w:szCs w:val="24"/>
        </w:rPr>
      </w:pPr>
    </w:p>
    <w:p>
      <w:pPr>
        <w:rPr>
          <w:kern w:val="0"/>
          <w:sz w:val="28"/>
          <w:szCs w:val="28"/>
        </w:rPr>
      </w:pPr>
      <w:r>
        <w:rPr>
          <w:rFonts w:hint="eastAsia"/>
          <w:kern w:val="0"/>
          <w:sz w:val="28"/>
          <w:szCs w:val="28"/>
        </w:rPr>
        <w:t>附件二：</w:t>
      </w:r>
    </w:p>
    <w:p>
      <w:pPr>
        <w:jc w:val="center"/>
        <w:rPr>
          <w:rFonts w:ascii="宋体" w:hAnsi="宋体"/>
          <w:b/>
          <w:bCs/>
          <w:sz w:val="24"/>
          <w:szCs w:val="24"/>
        </w:rPr>
      </w:pPr>
      <w:r>
        <w:rPr>
          <w:rFonts w:hint="eastAsia" w:ascii="宋体" w:hAnsi="宋体"/>
          <w:b/>
          <w:bCs/>
          <w:sz w:val="24"/>
          <w:szCs w:val="24"/>
        </w:rPr>
        <w:t>2015年度航空经济重点调研任务研究绩效预算表</w:t>
      </w:r>
    </w:p>
    <w:tbl>
      <w:tblPr>
        <w:tblStyle w:val="5"/>
        <w:tblW w:w="8061" w:type="dxa"/>
        <w:tblInd w:w="0" w:type="dxa"/>
        <w:tblLayout w:type="fixed"/>
        <w:tblCellMar>
          <w:top w:w="0" w:type="dxa"/>
          <w:left w:w="0" w:type="dxa"/>
          <w:bottom w:w="0" w:type="dxa"/>
          <w:right w:w="0" w:type="dxa"/>
        </w:tblCellMar>
      </w:tblPr>
      <w:tblGrid>
        <w:gridCol w:w="724"/>
        <w:gridCol w:w="5717"/>
        <w:gridCol w:w="1620"/>
      </w:tblGrid>
      <w:tr>
        <w:tblPrEx>
          <w:tblLayout w:type="fixed"/>
          <w:tblCellMar>
            <w:top w:w="0" w:type="dxa"/>
            <w:left w:w="0" w:type="dxa"/>
            <w:bottom w:w="0" w:type="dxa"/>
            <w:right w:w="0" w:type="dxa"/>
          </w:tblCellMar>
        </w:tblPrEx>
        <w:trPr>
          <w:trHeight w:val="495" w:hRule="atLeast"/>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widowControl/>
              <w:textAlignment w:val="top"/>
              <w:rPr>
                <w:rFonts w:ascii="宋体" w:hAnsi="宋体" w:cs="宋体"/>
                <w:b/>
                <w:color w:val="000000"/>
                <w:sz w:val="24"/>
                <w:szCs w:val="24"/>
              </w:rPr>
            </w:pPr>
            <w:r>
              <w:rPr>
                <w:rFonts w:hint="eastAsia" w:ascii="宋体" w:hAnsi="宋体" w:cs="宋体"/>
                <w:b/>
                <w:color w:val="000000"/>
                <w:kern w:val="0"/>
                <w:sz w:val="24"/>
                <w:szCs w:val="24"/>
              </w:rPr>
              <w:t>序号</w:t>
            </w:r>
          </w:p>
        </w:tc>
        <w:tc>
          <w:tcPr>
            <w:tcW w:w="5717" w:type="dxa"/>
            <w:tcBorders>
              <w:top w:val="single" w:color="auto" w:sz="4" w:space="0"/>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cs="宋体"/>
                <w:b/>
                <w:color w:val="000000"/>
                <w:sz w:val="24"/>
                <w:szCs w:val="24"/>
              </w:rPr>
            </w:pPr>
            <w:r>
              <w:rPr>
                <w:rFonts w:hint="eastAsia" w:ascii="宋体" w:hAnsi="宋体" w:cs="宋体"/>
                <w:b/>
                <w:color w:val="000000"/>
                <w:kern w:val="0"/>
                <w:sz w:val="24"/>
                <w:szCs w:val="24"/>
              </w:rPr>
              <w:t>课题名称</w:t>
            </w:r>
          </w:p>
        </w:tc>
        <w:tc>
          <w:tcPr>
            <w:tcW w:w="1620" w:type="dxa"/>
            <w:tcBorders>
              <w:top w:val="single" w:color="auto" w:sz="4" w:space="0"/>
              <w:left w:val="nil"/>
              <w:bottom w:val="single" w:color="auto" w:sz="4" w:space="0"/>
              <w:right w:val="single" w:color="auto" w:sz="4" w:space="0"/>
            </w:tcBorders>
            <w:tcMar>
              <w:top w:w="15" w:type="dxa"/>
              <w:left w:w="15" w:type="dxa"/>
              <w:right w:w="15" w:type="dxa"/>
            </w:tcMar>
            <w:vAlign w:val="top"/>
          </w:tcPr>
          <w:p>
            <w:pPr>
              <w:widowControl/>
              <w:textAlignment w:val="top"/>
              <w:rPr>
                <w:rFonts w:ascii="宋体" w:hAnsi="宋体"/>
                <w:sz w:val="24"/>
                <w:szCs w:val="24"/>
              </w:rPr>
            </w:pPr>
            <w:r>
              <w:rPr>
                <w:rFonts w:hint="eastAsia" w:ascii="宋体" w:hAnsi="宋体" w:cs="宋体"/>
                <w:b/>
                <w:color w:val="000000"/>
                <w:kern w:val="0"/>
                <w:sz w:val="24"/>
                <w:szCs w:val="24"/>
              </w:rPr>
              <w:t>研究绩效（万）</w:t>
            </w:r>
          </w:p>
        </w:tc>
      </w:tr>
      <w:tr>
        <w:tblPrEx>
          <w:tblLayout w:type="fixed"/>
          <w:tblCellMar>
            <w:top w:w="0" w:type="dxa"/>
            <w:left w:w="0" w:type="dxa"/>
            <w:bottom w:w="0" w:type="dxa"/>
            <w:right w:w="0" w:type="dxa"/>
          </w:tblCellMar>
        </w:tblPrEx>
        <w:trPr>
          <w:trHeight w:val="345"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1</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航空港建设政策理论研究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1.1</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实验区建设如何深度融入国家“一路一带”战略研究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1.2</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实验区“河南省深化改革、体制创新的示范区”建设研究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5</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1.3</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实验区空港竞争力指数评价体系建设与应用研究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1.4</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实验区专题立法与实验区条例制定</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9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1.5</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郑州特色自贸区建设与实验区自由贸易区建设战略研究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9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1.6</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snapToGrid w:val="0"/>
              <w:rPr>
                <w:rFonts w:ascii="宋体" w:hAnsi="宋体" w:cs="宋体"/>
                <w:color w:val="000000"/>
                <w:kern w:val="0"/>
                <w:sz w:val="24"/>
                <w:szCs w:val="24"/>
              </w:rPr>
            </w:pPr>
            <w:r>
              <w:rPr>
                <w:rFonts w:hint="eastAsia" w:ascii="宋体" w:hAnsi="宋体" w:cs="宋体"/>
                <w:color w:val="000000"/>
                <w:kern w:val="0"/>
                <w:sz w:val="24"/>
                <w:szCs w:val="24"/>
              </w:rPr>
              <w:t>北京临空经济区的发展对郑州航空港实验区建设的借鉴；</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0" w:type="dxa"/>
            <w:bottom w:w="0" w:type="dxa"/>
            <w:right w:w="0" w:type="dxa"/>
          </w:tblCellMar>
        </w:tblPrEx>
        <w:trPr>
          <w:trHeight w:val="9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1.7</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snapToGrid w:val="0"/>
              <w:rPr>
                <w:rFonts w:ascii="宋体" w:hAnsi="宋体" w:cs="宋体"/>
                <w:color w:val="000000"/>
                <w:kern w:val="0"/>
                <w:sz w:val="24"/>
                <w:szCs w:val="24"/>
              </w:rPr>
            </w:pPr>
            <w:r>
              <w:rPr>
                <w:rFonts w:hint="eastAsia" w:ascii="宋体" w:hAnsi="宋体" w:cs="宋体"/>
                <w:color w:val="000000"/>
                <w:kern w:val="0"/>
                <w:sz w:val="24"/>
                <w:szCs w:val="24"/>
              </w:rPr>
              <w:t>临空经济主流理论与实践的差异实证分析（以北京和郑州为例）</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rPr>
                <w:rFonts w:ascii="宋体" w:hAnsi="宋体" w:cs="宋体"/>
                <w:color w:val="000000"/>
                <w:kern w:val="0"/>
                <w:sz w:val="24"/>
                <w:szCs w:val="24"/>
              </w:rPr>
            </w:pPr>
            <w:r>
              <w:rPr>
                <w:rFonts w:hint="eastAsia" w:ascii="宋体" w:hAnsi="宋体" w:cs="宋体"/>
                <w:color w:val="000000"/>
                <w:kern w:val="0"/>
                <w:sz w:val="24"/>
                <w:szCs w:val="24"/>
              </w:rPr>
              <w:t>2</w:t>
            </w:r>
          </w:p>
        </w:tc>
      </w:tr>
      <w:tr>
        <w:tblPrEx>
          <w:tblLayout w:type="fixed"/>
          <w:tblCellMar>
            <w:top w:w="0" w:type="dxa"/>
            <w:left w:w="0" w:type="dxa"/>
            <w:bottom w:w="0" w:type="dxa"/>
            <w:right w:w="0" w:type="dxa"/>
          </w:tblCellMar>
        </w:tblPrEx>
        <w:trPr>
          <w:trHeight w:val="405"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2</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航空物流与物流工程研究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2.1</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实验区面向全球、全方位开放的海陆空新型国际交通体系研究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5</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2.2</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“卢森堡模式”创新与新鲜卢森堡项目推进方案研究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2.3</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实验区交通运输行政执法改体制改革方案研究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2.7</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2.4</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实验区花卉物流与都市型生态农业发展路径研究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417"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2.5</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深化流通变革，将实验区打造国际商都核心区研究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2.7</w:t>
            </w:r>
          </w:p>
        </w:tc>
      </w:tr>
      <w:tr>
        <w:tblPrEx>
          <w:tblLayout w:type="fixed"/>
          <w:tblCellMar>
            <w:top w:w="0" w:type="dxa"/>
            <w:left w:w="0" w:type="dxa"/>
            <w:bottom w:w="0" w:type="dxa"/>
            <w:right w:w="0" w:type="dxa"/>
          </w:tblCellMar>
        </w:tblPrEx>
        <w:trPr>
          <w:trHeight w:val="66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3</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航空产业技术研究领域（高端制造业、电子信息业、新材料、航空维修、电子商务等）</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3.1</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互联网+、众创创业、技术创新与实验区发展的驱动力研究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3.2</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台海政局、台企战略调整对实验区IT、先进制造业可持续发展影响研究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2.7</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3.3</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跨境电商中物流、通关效益、退税以及电子支付等相关问题解决对策研究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3.4</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实验区“三网融合”建设与河南省通信工作试点申建方案研究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3.5</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智能终端产业在硬件生产、核心部件原材料创新和软件研发等方面的发展趋势及要点分析研究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r>
              <w:rPr>
                <w:rFonts w:hint="eastAsia" w:ascii="宋体" w:hAnsi="宋体" w:cs="宋体"/>
                <w:color w:val="000000"/>
                <w:kern w:val="0"/>
                <w:sz w:val="24"/>
                <w:szCs w:val="24"/>
              </w:rPr>
              <w:t>2.7</w:t>
            </w:r>
          </w:p>
        </w:tc>
      </w:tr>
      <w:tr>
        <w:tblPrEx>
          <w:tblLayout w:type="fixed"/>
          <w:tblCellMar>
            <w:top w:w="0" w:type="dxa"/>
            <w:left w:w="0" w:type="dxa"/>
            <w:bottom w:w="0" w:type="dxa"/>
            <w:right w:w="0" w:type="dxa"/>
          </w:tblCellMar>
        </w:tblPrEx>
        <w:trPr>
          <w:trHeight w:val="45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4</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航空金融体系</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4.1</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实验区离岸结算、离岸金融、金融租赁等创新业务的先行先试研究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4.2</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财政改革对实验区“新常态”的投资增长路径影响及发展思路研究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444" w:hRule="atLeast"/>
        </w:trPr>
        <w:tc>
          <w:tcPr>
            <w:tcW w:w="724" w:type="dxa"/>
            <w:tcBorders>
              <w:top w:val="nil"/>
              <w:left w:val="single" w:color="auto" w:sz="4" w:space="0"/>
              <w:bottom w:val="single" w:color="000000"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5</w:t>
            </w:r>
          </w:p>
        </w:tc>
        <w:tc>
          <w:tcPr>
            <w:tcW w:w="5717" w:type="dxa"/>
            <w:tcBorders>
              <w:top w:val="nil"/>
              <w:left w:val="single" w:color="auto" w:sz="4" w:space="0"/>
              <w:bottom w:val="single" w:color="000000"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航空服务体系</w:t>
            </w:r>
          </w:p>
        </w:tc>
        <w:tc>
          <w:tcPr>
            <w:tcW w:w="1620" w:type="dxa"/>
            <w:tcBorders>
              <w:top w:val="nil"/>
              <w:left w:val="single" w:color="auto" w:sz="4" w:space="0"/>
              <w:bottom w:val="single" w:color="000000"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5.1</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航空港实验区人才战略顶层设计</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45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5.2</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航空港实验区文化发展顶层设计</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5.3</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实验区在社保体制创新方面的先行先试</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45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6</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航空城市建设</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sz w:val="24"/>
                <w:szCs w:val="24"/>
              </w:rPr>
            </w:pP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6.1</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实验区城市化建设与中央财政支持地下综合管廊试点申建方案研究</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rPr>
              <w:t>6.2</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rPr>
              <w:t>实验区海绵城市建设试点行动方案</w:t>
            </w:r>
          </w:p>
        </w:tc>
        <w:tc>
          <w:tcPr>
            <w:tcW w:w="1620" w:type="dxa"/>
            <w:tcBorders>
              <w:top w:val="nil"/>
              <w:left w:val="nil"/>
              <w:bottom w:val="single" w:color="auto" w:sz="4" w:space="0"/>
              <w:right w:val="single" w:color="auto" w:sz="4" w:space="0"/>
            </w:tcBorders>
            <w:tcMar>
              <w:top w:w="15" w:type="dxa"/>
              <w:left w:w="15" w:type="dxa"/>
              <w:right w:w="15" w:type="dxa"/>
            </w:tcMar>
            <w:vAlign w:val="top"/>
          </w:tcPr>
          <w:p>
            <w:pPr>
              <w:jc w:val="center"/>
            </w:pPr>
            <w:r>
              <w:rPr>
                <w:rFonts w:hint="eastAsia" w:ascii="宋体" w:hAnsi="宋体" w:cs="宋体"/>
                <w:color w:val="000000"/>
                <w:kern w:val="0"/>
                <w:sz w:val="24"/>
                <w:szCs w:val="24"/>
              </w:rPr>
              <w:t>3</w:t>
            </w:r>
          </w:p>
        </w:tc>
      </w:tr>
      <w:tr>
        <w:tblPrEx>
          <w:tblLayout w:type="fixed"/>
          <w:tblCellMar>
            <w:top w:w="0" w:type="dxa"/>
            <w:left w:w="0" w:type="dxa"/>
            <w:bottom w:w="0" w:type="dxa"/>
            <w:right w:w="0" w:type="dxa"/>
          </w:tblCellMar>
        </w:tblPrEx>
        <w:trPr>
          <w:trHeight w:val="270" w:hRule="atLeast"/>
        </w:trPr>
        <w:tc>
          <w:tcPr>
            <w:tcW w:w="724" w:type="dxa"/>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b/>
                <w:color w:val="000000"/>
                <w:kern w:val="0"/>
                <w:sz w:val="24"/>
                <w:szCs w:val="24"/>
              </w:rPr>
            </w:pPr>
            <w:r>
              <w:rPr>
                <w:rFonts w:hint="eastAsia" w:ascii="宋体" w:hAnsi="宋体" w:cs="宋体"/>
                <w:b/>
                <w:color w:val="000000"/>
                <w:kern w:val="0"/>
                <w:sz w:val="24"/>
                <w:szCs w:val="24"/>
              </w:rPr>
              <w:t>共计</w:t>
            </w:r>
          </w:p>
        </w:tc>
        <w:tc>
          <w:tcPr>
            <w:tcW w:w="5717"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kern w:val="0"/>
                <w:sz w:val="24"/>
                <w:szCs w:val="24"/>
              </w:rPr>
            </w:pPr>
          </w:p>
        </w:tc>
        <w:tc>
          <w:tcPr>
            <w:tcW w:w="1620" w:type="dxa"/>
            <w:tcBorders>
              <w:top w:val="nil"/>
              <w:left w:val="nil"/>
              <w:bottom w:val="single" w:color="auto" w:sz="4" w:space="0"/>
              <w:right w:val="single" w:color="auto" w:sz="4" w:space="0"/>
            </w:tcBorders>
            <w:tcMar>
              <w:top w:w="15" w:type="dxa"/>
              <w:left w:w="15" w:type="dxa"/>
              <w:right w:w="15" w:type="dxa"/>
            </w:tcMar>
            <w:vAlign w:val="top"/>
          </w:tcPr>
          <w:p>
            <w:pPr>
              <w:widowControl/>
              <w:jc w:val="center"/>
              <w:textAlignment w:val="top"/>
              <w:rPr>
                <w:rFonts w:ascii="宋体" w:hAnsi="宋体" w:cs="宋体"/>
                <w:color w:val="000000"/>
                <w:kern w:val="0"/>
                <w:sz w:val="24"/>
                <w:szCs w:val="24"/>
              </w:rPr>
            </w:pPr>
            <w:r>
              <w:rPr>
                <w:rFonts w:hint="eastAsia" w:ascii="宋体" w:hAnsi="宋体" w:cs="宋体"/>
                <w:color w:val="000000"/>
                <w:kern w:val="0"/>
                <w:sz w:val="24"/>
                <w:szCs w:val="24"/>
              </w:rPr>
              <w:t>72.8</w:t>
            </w:r>
          </w:p>
        </w:tc>
      </w:tr>
    </w:tbl>
    <w:p>
      <w:pPr>
        <w:snapToGrid w:val="0"/>
        <w:rPr>
          <w:rFonts w:ascii="宋体" w:hAnsi="宋体"/>
          <w:sz w:val="24"/>
          <w:szCs w:val="24"/>
        </w:rPr>
      </w:pPr>
    </w:p>
    <w:p>
      <w:pPr>
        <w:snapToGrid w:val="0"/>
        <w:jc w:val="left"/>
        <w:rPr>
          <w:rFonts w:ascii="宋体" w:hAnsi="宋体"/>
          <w:sz w:val="24"/>
          <w:szCs w:val="24"/>
        </w:rPr>
      </w:pPr>
      <w:r>
        <w:rPr>
          <w:rFonts w:hint="eastAsia" w:ascii="宋体" w:hAnsi="宋体"/>
          <w:sz w:val="24"/>
          <w:szCs w:val="24"/>
        </w:rPr>
        <w:t>附件三、</w:t>
      </w:r>
      <w:r>
        <w:rPr>
          <w:rFonts w:ascii="宋体" w:hAnsi="宋体"/>
          <w:color w:val="262626"/>
          <w:sz w:val="24"/>
          <w:szCs w:val="24"/>
        </w:rPr>
        <w:drawing>
          <wp:inline distT="0" distB="0" distL="114300" distR="114300">
            <wp:extent cx="171450" cy="171450"/>
            <wp:effectExtent l="0" t="0" r="0" b="0"/>
            <wp:docPr id="1" name="图片 1" descr="http://kych.zzia.edu.cn/control/FCKeditor/editor/images/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kych.zzia.edu.cn/control/FCKeditor/editor/images/file/doc.gif"/>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fldChar w:fldCharType="begin"/>
      </w:r>
      <w:r>
        <w:instrText xml:space="preserve">HYPERLINK "http://kych.zzia.edu.cn/picture/article/55/75/33/4d3772c9413182f3ecc6ffdf287b/1232cfbf-b810-4738-97bc-135d0d6c8c56.doc" \t "_blank"</w:instrText>
      </w:r>
      <w:r>
        <w:fldChar w:fldCharType="separate"/>
      </w:r>
      <w:r>
        <w:rPr>
          <w:rStyle w:val="4"/>
          <w:rFonts w:hint="eastAsia" w:ascii="宋体" w:hAnsi="宋体"/>
          <w:sz w:val="24"/>
          <w:szCs w:val="24"/>
        </w:rPr>
        <w:t>申报表.doc</w:t>
      </w:r>
      <w:r>
        <w:fldChar w:fldCharType="end"/>
      </w:r>
    </w:p>
    <w:p>
      <w:pPr>
        <w:snapToGrid w:val="0"/>
        <w:jc w:val="left"/>
      </w:pPr>
      <w:r>
        <w:rPr>
          <w:rFonts w:hint="eastAsia" w:ascii="宋体" w:hAnsi="宋体"/>
          <w:sz w:val="24"/>
          <w:szCs w:val="24"/>
        </w:rPr>
        <w:t>附件四、</w:t>
      </w:r>
      <w:r>
        <w:rPr>
          <w:rFonts w:ascii="宋体" w:hAnsi="宋体"/>
          <w:color w:val="262626"/>
          <w:sz w:val="24"/>
          <w:szCs w:val="24"/>
        </w:rPr>
        <w:drawing>
          <wp:inline distT="0" distB="0" distL="114300" distR="114300">
            <wp:extent cx="171450" cy="171450"/>
            <wp:effectExtent l="0" t="0" r="0" b="0"/>
            <wp:docPr id="2" name="图片 2" descr="http://kych.zzia.edu.cn/control/FCKeditor/editor/images/file/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kych.zzia.edu.cn/control/FCKeditor/editor/images/file/xls.gif"/>
                    <pic:cNvPicPr>
                      <a:picLocks noChangeAspect="1"/>
                    </pic:cNvPicPr>
                  </pic:nvPicPr>
                  <pic:blipFill>
                    <a:blip r:embed="rId5"/>
                    <a:stretch>
                      <a:fillRect/>
                    </a:stretch>
                  </pic:blipFill>
                  <pic:spPr>
                    <a:xfrm>
                      <a:off x="0" y="0"/>
                      <a:ext cx="171450" cy="171450"/>
                    </a:xfrm>
                    <a:prstGeom prst="rect">
                      <a:avLst/>
                    </a:prstGeom>
                    <a:noFill/>
                    <a:ln w="9525">
                      <a:noFill/>
                    </a:ln>
                  </pic:spPr>
                </pic:pic>
              </a:graphicData>
            </a:graphic>
          </wp:inline>
        </w:drawing>
      </w:r>
      <w:r>
        <w:fldChar w:fldCharType="begin"/>
      </w:r>
      <w:r>
        <w:instrText xml:space="preserve">HYPERLINK "http://kych.zzia.edu.cn/picture/article/55/75/33/4d3772c9413182f3ecc6ffdf287b/e87a0d86-656c-453a-abfe-4060874eea25.xls" \t "_blank"</w:instrText>
      </w:r>
      <w:r>
        <w:fldChar w:fldCharType="separate"/>
      </w:r>
      <w:r>
        <w:rPr>
          <w:rStyle w:val="4"/>
          <w:rFonts w:hint="eastAsia" w:ascii="宋体" w:hAnsi="宋体"/>
          <w:sz w:val="24"/>
          <w:szCs w:val="24"/>
        </w:rPr>
        <w:t>汇总表.xls</w:t>
      </w:r>
      <w:r>
        <w:fldChar w:fldCharType="end"/>
      </w:r>
    </w:p>
    <w:p>
      <w:pPr>
        <w:snapToGrid w:val="0"/>
        <w:jc w:val="left"/>
        <w:rPr>
          <w:rFonts w:ascii="宋体" w:hAnsi="宋体"/>
          <w:sz w:val="24"/>
          <w:szCs w:val="24"/>
        </w:rPr>
      </w:pPr>
      <w:r>
        <w:rPr>
          <w:rFonts w:hint="eastAsia" w:ascii="宋体" w:hAnsi="宋体"/>
          <w:sz w:val="24"/>
          <w:szCs w:val="24"/>
        </w:rPr>
        <w:t>附件五、</w:t>
      </w:r>
      <w:r>
        <w:rPr>
          <w:rFonts w:hint="eastAsia" w:ascii="宋体" w:hAnsi="宋体" w:cs="宋体"/>
        </w:rPr>
        <w:t>招标协议书</w:t>
      </w:r>
    </w:p>
    <w:p>
      <w:pPr>
        <w:snapToGrid w:val="0"/>
        <w:jc w:val="left"/>
        <w:rPr>
          <w:rFonts w:ascii="宋体" w:hAnsi="宋体"/>
          <w:sz w:val="24"/>
          <w:szCs w:val="24"/>
        </w:rPr>
      </w:pPr>
    </w:p>
    <w:p>
      <w:pPr>
        <w:snapToGrid w:val="0"/>
        <w:jc w:val="left"/>
        <w:rPr>
          <w:rFonts w:ascii="宋体" w:hAnsi="宋体"/>
          <w:sz w:val="24"/>
          <w:szCs w:val="24"/>
        </w:rPr>
      </w:pPr>
    </w:p>
    <w:p>
      <w:pPr>
        <w:rPr>
          <w:rFonts w:hint="eastAsia"/>
          <w:sz w:val="24"/>
          <w:szCs w:val="24"/>
        </w:rPr>
      </w:pPr>
    </w:p>
    <w:p>
      <w:pPr>
        <w:rPr>
          <w:rFonts w:hint="eastAsia"/>
          <w:sz w:val="24"/>
          <w:szCs w:val="24"/>
        </w:rPr>
      </w:pPr>
    </w:p>
    <w:p>
      <w:pPr>
        <w:rPr>
          <w:rFonts w:hint="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95C11"/>
    <w:rsid w:val="302B26B1"/>
    <w:rsid w:val="5B995C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2017-03-22T07:12:00Z</dcterms:created>
  <dc:creator>Administrator</dc:creator>
  <cp:lastModifiedBy>Administrator</cp:lastModifiedBy>
  <dcterms:modified xsi:type="dcterms:W3CDTF">2017-03-22T07:31:52Z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